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A" w:rsidRDefault="0050099A">
      <w:pPr>
        <w:spacing w:after="150" w:line="449" w:lineRule="auto"/>
        <w:jc w:val="center"/>
        <w:rPr>
          <w:rFonts w:ascii="inherit" w:eastAsia="inherit" w:hAnsi="inherit" w:cs="inherit"/>
          <w:b/>
          <w:color w:val="FF0000"/>
          <w:sz w:val="39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39"/>
        </w:rPr>
        <w:t>Консультация</w:t>
      </w:r>
      <w:r>
        <w:rPr>
          <w:rFonts w:ascii="inherit" w:eastAsia="inherit" w:hAnsi="inherit" w:cs="inherit"/>
          <w:b/>
          <w:color w:val="FF0000"/>
          <w:sz w:val="39"/>
        </w:rPr>
        <w:t xml:space="preserve"> </w:t>
      </w:r>
      <w:r>
        <w:rPr>
          <w:rFonts w:ascii="Calibri" w:eastAsia="Calibri" w:hAnsi="Calibri" w:cs="Calibri"/>
          <w:b/>
          <w:color w:val="FF0000"/>
          <w:sz w:val="39"/>
        </w:rPr>
        <w:t>для</w:t>
      </w:r>
      <w:r>
        <w:rPr>
          <w:rFonts w:ascii="inherit" w:eastAsia="inherit" w:hAnsi="inherit" w:cs="inherit"/>
          <w:b/>
          <w:color w:val="FF0000"/>
          <w:sz w:val="39"/>
        </w:rPr>
        <w:t xml:space="preserve"> </w:t>
      </w:r>
      <w:r>
        <w:rPr>
          <w:rFonts w:ascii="Calibri" w:eastAsia="Calibri" w:hAnsi="Calibri" w:cs="Calibri"/>
          <w:b/>
          <w:color w:val="FF0000"/>
          <w:sz w:val="39"/>
        </w:rPr>
        <w:t>педагогов</w:t>
      </w:r>
    </w:p>
    <w:p w:rsidR="000A5C4A" w:rsidRDefault="0050099A">
      <w:pPr>
        <w:spacing w:after="150" w:line="449" w:lineRule="auto"/>
        <w:jc w:val="center"/>
        <w:rPr>
          <w:rFonts w:ascii="inherit" w:eastAsia="inherit" w:hAnsi="inherit" w:cs="inherit"/>
          <w:b/>
          <w:color w:val="0000FF"/>
          <w:sz w:val="39"/>
        </w:rPr>
      </w:pPr>
      <w:r>
        <w:rPr>
          <w:rFonts w:ascii="Calibri" w:eastAsia="Calibri" w:hAnsi="Calibri" w:cs="Calibri"/>
          <w:b/>
          <w:color w:val="0000FF"/>
          <w:sz w:val="39"/>
        </w:rPr>
        <w:t>Игры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для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развития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навыков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общения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у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детей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старшего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дошкольного</w:t>
      </w:r>
      <w:r>
        <w:rPr>
          <w:rFonts w:ascii="inherit" w:eastAsia="inherit" w:hAnsi="inherit" w:cs="inherit"/>
          <w:b/>
          <w:color w:val="0000FF"/>
          <w:sz w:val="39"/>
        </w:rPr>
        <w:t xml:space="preserve"> </w:t>
      </w:r>
      <w:r>
        <w:rPr>
          <w:rFonts w:ascii="Calibri" w:eastAsia="Calibri" w:hAnsi="Calibri" w:cs="Calibri"/>
          <w:b/>
          <w:color w:val="0000FF"/>
          <w:sz w:val="39"/>
        </w:rPr>
        <w:t>возраста</w:t>
      </w:r>
    </w:p>
    <w:p w:rsidR="000A5C4A" w:rsidRDefault="000A5C4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A5C4A" w:rsidRDefault="0050099A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object w:dxaOrig="4358" w:dyaOrig="3340">
          <v:rect id="rectole0000000000" o:spid="_x0000_i1025" style="width:218.25pt;height:167.25pt" o:ole="" o:preferrelative="t" stroked="f">
            <v:imagedata r:id="rId4" o:title=""/>
          </v:rect>
          <o:OLEObject Type="Embed" ProgID="StaticMetafile" ShapeID="rectole0000000000" DrawAspect="Content" ObjectID="_1674831830" r:id="rId5"/>
        </w:object>
      </w:r>
      <w:r>
        <w:object w:dxaOrig="4358" w:dyaOrig="3340">
          <v:rect id="rectole0000000001" o:spid="_x0000_i1026" style="width:218.25pt;height:167.25pt" o:ole="" o:preferrelative="t" stroked="f">
            <v:imagedata r:id="rId4" o:title=""/>
          </v:rect>
          <o:OLEObject Type="Embed" ProgID="StaticMetafile" ShapeID="rectole0000000001" DrawAspect="Content" ObjectID="_1674831831" r:id="rId6"/>
        </w:objec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0A5C4A" w:rsidRDefault="00500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Особенно большое значение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психического развития ребёнка имеет его общение со взрослыми на ранних этапах онтогенеза. В это время все свои человеческие, психические и поведенческие качества он приобретает исключительно через общение: дети учатся тому, что будут использовать в теч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ение всей дальнейшей жизни.</w:t>
      </w:r>
    </w:p>
    <w:p w:rsidR="000A5C4A" w:rsidRDefault="0050099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Если взрослые на протяжении первых шести лет оказывают поддержку ребёнку, то он развивается гораздо быстрее. Кроме того, результатом искреннего и доброжелательного общения взрослого и ребёнка окажутся сформированные у малыша чув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CFCFC"/>
        </w:rPr>
        <w:t>ство доверия к миру, привязанность к родителям и другим близким людям.</w:t>
      </w:r>
    </w:p>
    <w:p w:rsidR="000A5C4A" w:rsidRDefault="00500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Важнейшими видами общения у людей, как известно, являются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вербальное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невербальное.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Невербальное общение не предполагает использование звуковой речи, естественного языка. Это общение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ри помощи мимики, жестов и пантомимики, через прямые сенсорные, телесные контакты. Благодаря ему человек получает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психологически развиваться ещё до того, как он усвоил и научился пользоваться речью. Невербальное общение способствует развитию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</w:t>
      </w:r>
    </w:p>
    <w:p w:rsidR="000A5C4A" w:rsidRDefault="000A5C4A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A5C4A" w:rsidRDefault="0050099A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Вербальное же общение присуще только человеку, и в качестве обяза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тельного условия предполагает усвоение языка.</w:t>
      </w:r>
    </w:p>
    <w:p w:rsidR="000A5C4A" w:rsidRDefault="005009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Проблема становления межличностного общения связана с дефицитом воспитанности, культуры, доброты в воспитании ребёнка. Поэтому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-образовательной работе дошкольных учреждений необходимо уделять осо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бое внимание именно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становлению межличностного общения детей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Контакты со сверстниками приносят ни с чем несравнимую радость. Только со сверстниками дети учатся быть наравне, а значит строить особые (личностные, деловые, оценочные) отношения, которые они не могут иметь со взрослыми. Часто дети стремятся, но не умею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 вступать в контакт, выбирать уместные способы общения со сверстниками, проявлять вежливое, доброжелательное отношение к ним, соблюдать, разговаривая, этикет, слушать партнёра.</w:t>
      </w:r>
    </w:p>
    <w:p w:rsidR="000A5C4A" w:rsidRDefault="0050099A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Предлагаемые игры, надеюсь, помогут педагогам, психологам и родителям обучить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детей умениям межличностного общения, преодолеть страх застенчивым и нерешительным детям, развить навыки совместной деятельности, воспитать доброжелательные отношение друг к другу.</w:t>
      </w:r>
    </w:p>
    <w:p w:rsidR="000A5C4A" w:rsidRDefault="0050099A">
      <w:pPr>
        <w:spacing w:after="0" w:line="414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  <w:t>Игры  на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40"/>
          <w:shd w:val="clear" w:color="auto" w:fill="FFFFFF"/>
        </w:rPr>
        <w:t xml:space="preserve"> развитие внимания, интереса к партнёру по общению</w:t>
      </w:r>
    </w:p>
    <w:p w:rsidR="000A5C4A" w:rsidRDefault="000A5C4A">
      <w:pPr>
        <w:spacing w:before="300" w:after="45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“Кто говорит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?”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развивать внимание к партнёру, слуховое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восприятие.Дети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стоят в полукруге. Один ребёнок — в центре, спиной к остальным. Дети задают ему вопросы, на которые он должен ответить, обращаясь по имени к задавшему вопрос. Он должен узнать, кто обращался к нему.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от, кого ребёнок узнал, занимает его место.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“Угадай, кто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это”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внимание, наблюдательность.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Упражнение выполняется в парах. Один ребёнок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 договорённости)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закрывает глаза, второй — меняется местом с ребёнком из другой пары. Первый на ощупь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Пожелание”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воспитывать интерес к партнёру по общению.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Дети садятся в круг и, передавая мяч (“волшебную палочку” или др.),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высказывают друг другу пожелания. Например: “Желаю тебе хорошего настроения”, “Всегда будь таким же смелым (добрым, красивым…), как сейчас” и т.д.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Комплименты”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умение оказывать положительные знаки внимания сверстникам.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становятся в кр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комплименты и слова благодарности, передают мяч сначала в одну, потом в другую сторону.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Закончи  предложение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детей осознавать свои привязанности, симпатии, интересы, увлечения и рассказывать о них.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стоят в кругу. В качестве ведущего — пе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дагог. У него в руках мяч. Он начинает предложение и бросает мяч — ребёнок заканчивает предложение и возвращает мяч взрослому: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Моя любимая игрушка…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Мой лучший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друг….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Моё любимое занятие….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Мой любимый праздник….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Мой любимый мультфильм….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Моя любимая сказка…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Моя любимая песня….</w:t>
      </w:r>
    </w:p>
    <w:p w:rsidR="000A5C4A" w:rsidRDefault="0050099A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Игры на развитие умения входить в контакт, вести диалог</w:t>
      </w:r>
    </w:p>
    <w:p w:rsidR="000A5C4A" w:rsidRDefault="000A5C4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Ласковое  имя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умение вступать в контакт, оказывать внимание сверстникам.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Танюша, Алёнушка,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Димуля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т.д.) Воспитатель обращает внимание детей на ласковую интонацию.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Разговор  по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телефону”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развитие умения вести диалог по телефону на соответствующую тему.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Тему задает 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(например, поздравить с днем рождения, пригласить в гости, договориться о чем-то и т. д.).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О  чём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спросить  при  встрече”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детей вступать в контакт.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сидят в кругу. У ведущего — эстафета (красивая палочка, мяч и т.п.).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Один ребёнок задает вопрос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другой отвечает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(“Как живёте?” — “Хорошо”. “Как идут дела?” — “Нормально”. “Что нового?” — “Все по-старому” и т.д.).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Дважды повторять вопрос нельзя.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Вопрос  —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ответ”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у детей умение отвечать на вопросы партнёра.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стоят в кругу. У одн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ого из них в руках мяч. Произнеся реплику-вопрос, игрок бросает мяч партнёру. Партнёр, поймав мяч, отвечает на вопрос и перебрасывает его другому игроку, при этом задаёт собственный вопрос и т.д.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(“Какое у тебя настроение?” — “Радостное”. “Где ты был в вос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кресенье?” — “Ходил с папой в гости”. “Какую игру ты любишь?” —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Ловишки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” и т.д.).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Прощай”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детей выходить из контакта, используя доброжелательные слова и интонации.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сидят в кругу и, предавая эстафету друг другу, называют слова, которые 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ворят при прощании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 свидания, до встречи, всего хорошего, ещё увидимся, счастливого пути, спокойной ночи, до скорой встречи, счастливо т.д.).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Педагог обращает внимание на то, что, прощаясь, необходимо посмотреть партнёру в глаза.</w:t>
      </w:r>
    </w:p>
    <w:p w:rsidR="000A5C4A" w:rsidRDefault="0050099A">
      <w:pPr>
        <w:spacing w:after="0" w:line="345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Игры на развитие навыко</w:t>
      </w: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в невербального общения</w:t>
      </w:r>
    </w:p>
    <w:p w:rsidR="000A5C4A" w:rsidRDefault="000A5C4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Как  говорят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части  тела”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невербальным способам общения.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Воспитатель даёт ребёнку разные задания. Покажи: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говорят плечи “Я не знаю”;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говорит палец “Иди сюда”;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ноги капризного ребёнка требуют “Я хочу!”, “Дай мне!”;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говорит голова “Да” и “Нет”;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 говорит рука “Садись!”, “Повернись!”, “До свидания”.</w:t>
      </w:r>
    </w:p>
    <w:p w:rsidR="000A5C4A" w:rsidRDefault="0050099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Остальные дети должны отгадать, какие задания давал воспитатель.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lastRenderedPageBreak/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Зоопарк”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невербальные способы общения.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Каждый из участников представляет себе, что он — животное, птица, рыба. Воспитатель дает 2—3 минуты для того, чтобы войти в образ. Затем по очереди каждый ребёнок изображает это животное через движение, повадки, мане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 поведения, звуки и т.д. Остальные дети угадывают это животное.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Сделай  подарок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знакомить детей с невербальными способами общения.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Педагог изображает различные предметы при помощи жестов и выразительных движений. Отгадавший получает этот предмет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“в подарок”. Затем ведущий предлагает детям сделать подарок друг для друга.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День  наступает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, всё  оживает…”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у детей выразительность поз, учить быть внимательными.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Ведущий произносит первую половину зачина, все участники начинают двигаться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комнате в хаотическом порядке.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Когда  ведущий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произносит вторую половину зачина, все застывают в причудливых позах. Затем по выбору ведущего отдельные участники “отмирают” и придуманным способом оправдывают позу.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Здороваемся  без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слов”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умение использовать жест, позу в общении.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разбиваются на пары. Каждая пара придумывает свой способ приветствия без слов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(пожать руку друг другу, помахать рукой, обняться, кивнуть головой и т.д.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Затем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все собираются в круг, а пары демонстрируют по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череди способ приветствия.</w:t>
      </w:r>
    </w:p>
    <w:p w:rsidR="000A5C4A" w:rsidRDefault="0050099A">
      <w:pPr>
        <w:spacing w:after="0" w:line="414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Игры на развитие навыков взаимодействия в группе</w:t>
      </w:r>
    </w:p>
    <w:p w:rsidR="000A5C4A" w:rsidRDefault="000A5C4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Робот”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сплочение группы, воспитание способности к согласованному взаимодействию.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делятся на пары. Один из детей исполняет роль изобретателя, другой — робота. Робот, ища спрятанный предмет, движется по указанию изобретателя прямо, влево и т.д. Затем дети меняются ролями.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Эхо”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учить детей быть открытыми для работы с другими,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подчиняться общему ритму движений.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Дети отвечают на звуки ведущего дружным эхо. Например, на хлопок воспитателя участники группы отвечают дружными хлопками. Ведущий может подавать другие сигналы: серию хлопков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определёенном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ритме, постукивание по столу,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стене, коленям, притопывание и т.д. Упражнение может выполняться в подгруппе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(4—5 человек)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или со всей группой детей.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При выполнении небольшими подгруппами одна подгруппа оценивает слаженность действий другой.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Руки  —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ноги”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детей чётко подчин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яться несложной команде; учить удерживать внимание на собственной работе, борясь со стремлением повторить движения соседей.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Детям нужно безошибочно выполнять простые движения под команду педагога: например, на один хлопок — поднять руки вверх, на два — вст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ать. Если руки уже подняты, а звучит один хлопок, то их нужно опустить, а если дети уже стоят, то на два хлопка необходимо сесть. Меняя последовательность и темп хлопков,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  пытается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сбить детей, тренируя их собранность.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Удержи  предмет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способность к согласованности действий с партнёром.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разбиваются на пары. Пары соревнуются друг с другом. Педагог предлагает удержать листок бумаги лбами (надувной шар — животами) без помощи рук, передвигаясь по групповой комнате. Побеждает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пара, которая более длительное время удерживает предмет.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Змея”</w:t>
      </w: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навыки группового взаимодействия.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становятся друг за другом и крепко держат впереди стоящего за плечи или за талию. Первый ребёнок — “голова змеи”, последний — “хвост зм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еи”. “Голова змеи” пытается поймать “хвост”, а потом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уворачивается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него. В ходе игры ведущие меняются. В следующий раз “головой” становится тот ребёнок, который изображал “хвост” и не дал себя поймать. Если же “голова змеи” его поймала, этот игрок стано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вится в середину. При проведении игры можно использовать музыкальное сопровождение.</w:t>
      </w:r>
    </w:p>
    <w:p w:rsidR="000A5C4A" w:rsidRDefault="000A5C4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A5C4A" w:rsidRDefault="0050099A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hd w:val="clear" w:color="auto" w:fill="FFFFFF"/>
        </w:rPr>
        <w:t>Игры на телесный контакт</w:t>
      </w:r>
    </w:p>
    <w:p w:rsidR="000A5C4A" w:rsidRDefault="000A5C4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Дрозды”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навыки общения, воспитывать доброжелательное отношение к сверстникам.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делятся на пары, повторяют за педагогом слова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действия: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дрозд.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(Показывают на себя.)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ты дрозд.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(Показывают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своего  партнёра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.)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меня нос.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(Дотрагиваются до своего носа.)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тебя нос.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(Дотрагиваются до носа своего партнёра.)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меня губки сладкие.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(Дотрагиваются до своих губ.)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тебя губки сладкие.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(Дотрагиваются до губ своего партнёра.)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меня щёчки гладкие.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(Гладят свои щёки.)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 тебя щёчки гладкие.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(Гладят щёки своего партнёра.)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Возьмёмся  за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руки,  друзья”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учить детей чувствовать прикосновения другого человека. Педаго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 и дети стоят в кругу, на небольшом расстоянии друг от друга, руки вдоль туловища. Нужно взяться за руки, но не сразу, а по очереди. Начинает педагог. Он предлагает свою руку ребёнку, стоящему рядом. И только после того, как ребёнок почувствовал руку взро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слого, свою свободную руку он отдаёт соседу. Постепенно круг замыкается.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Рисунок  на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  спине”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кожную чувствительность и способность различать тактильный образ.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разбиваются на пары. Один ребёнок встаёт первым, другой — за ним. Игрок, 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оящий сзади, рисует указательным пальцем на спине партнёра образ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(домик, солнышко, ёлку, лесенку, цветок, кораблик, снеговика и т.д.).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Партнёр должен определить, что нарисовано. Затем дети меняются местами.</w:t>
      </w:r>
    </w:p>
    <w:p w:rsidR="000A5C4A" w:rsidRDefault="0050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Ручеёк”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помочь детям войти в контакт, сделать эмоционально значимый выбор.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Дети в произвольном порядке разбиваются на пары. Пары располагаются друг за другом, взявшись за руки и подняв сомкнутые руки вверх. Тот, кому не хватило пары, проходит под сомкнутыми руками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выбирает себе партнёра. Новая пара становится сзади, а освободившийся участник игры заходит в ручеёк и ищет себе пару и т.д.</w:t>
      </w:r>
    </w:p>
    <w:p w:rsidR="000A5C4A" w:rsidRDefault="00500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Руки  танцуют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помочь детям настроиться на другого человека и ответить на его готовность сотрудничать.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Игровое упражнение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выполняется в парах. Необходимо соприкоснуться ладонями (более сложный вариант — указательными пальцами) и, не размыкая ладони, осуществлять разнообразные движения рук под танцевальную музыку.</w:t>
      </w:r>
    </w:p>
    <w:p w:rsidR="000A5C4A" w:rsidRDefault="000A5C4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A"/>
    <w:rsid w:val="000A5C4A"/>
    <w:rsid w:val="005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E098-00C5-42F3-9184-3AF2494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 3</dc:creator>
  <cp:lastModifiedBy>Buk 3</cp:lastModifiedBy>
  <cp:revision>2</cp:revision>
  <dcterms:created xsi:type="dcterms:W3CDTF">2021-02-14T12:17:00Z</dcterms:created>
  <dcterms:modified xsi:type="dcterms:W3CDTF">2021-02-14T12:17:00Z</dcterms:modified>
</cp:coreProperties>
</file>